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bookmarkStart w:id="20" w:name="competitive-watch-list-cumulus-cloud"/>
      <w:r>
        <w:t xml:space="preserve">Competitive watch list — Cumulus Cloud</w:t>
      </w:r>
      <w:bookmarkEnd w:id="20"/>
    </w:p>
    <w:p>
      <w:pPr>
        <w:pStyle w:val="FirstParagraph"/>
      </w:pPr>
      <w:r>
        <w:rPr>
          <w:i/>
        </w:rPr>
        <w:t xml:space="preserve">Attach this as the competitive-digest agent’s knowledge file. It defines who to track and what Cumulus actually cares about, so the digest stays relevant instead of generic.</w:t>
      </w:r>
    </w:p>
    <w:p>
      <w:pPr>
        <w:pStyle w:val="Heading2"/>
      </w:pPr>
      <w:bookmarkStart w:id="21" w:name="who-we-are"/>
      <w:r>
        <w:t xml:space="preserve">Who we are</w:t>
      </w:r>
      <w:bookmarkEnd w:id="21"/>
    </w:p>
    <w:p>
      <w:pPr>
        <w:pStyle w:val="FirstParagraph"/>
      </w:pPr>
      <w:r>
        <w:t xml:space="preserve">Cumulus Cloud — analytics SaaS for retail: dashboards, role-based permissions, audit logs, multi-region data residency. We win on being the trusted single source of truth across departments, and on security/compliance.</w:t>
      </w:r>
    </w:p>
    <w:p>
      <w:pPr>
        <w:pStyle w:val="Heading2"/>
      </w:pPr>
      <w:bookmarkStart w:id="22" w:name="competitors-to-track-top-3"/>
      <w:r>
        <w:t xml:space="preserve">Competitors to track (top 3)</w:t>
      </w:r>
      <w:bookmarkEnd w:id="22"/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Datapeak</w:t>
      </w:r>
      <w:r>
        <w:t xml:space="preserve"> </w:t>
      </w:r>
      <w:r>
        <w:t xml:space="preserve">— broad, mid-market, aggressive on price and AI features.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Insightly Grid</w:t>
      </w:r>
      <w:r>
        <w:t xml:space="preserve"> </w:t>
      </w:r>
      <w:r>
        <w:t xml:space="preserve">— enterprise-leaning, strong in data governance/residency.</w:t>
      </w:r>
    </w:p>
    <w:p>
      <w:pPr>
        <w:numPr>
          <w:ilvl w:val="0"/>
          <w:numId w:val="1001"/>
        </w:numPr>
        <w:pStyle w:val="Compact"/>
      </w:pPr>
      <w:r>
        <w:rPr>
          <w:b/>
        </w:rPr>
        <w:t xml:space="preserve">Lumen BI</w:t>
      </w:r>
      <w:r>
        <w:t xml:space="preserve"> </w:t>
      </w:r>
      <w:r>
        <w:t xml:space="preserve">— well-funded challenger positioning on compliance and security.</w:t>
      </w:r>
    </w:p>
    <w:p>
      <w:pPr>
        <w:pStyle w:val="Heading2"/>
      </w:pPr>
      <w:bookmarkStart w:id="23" w:name="what-we-care-about-rank-findings-by-this"/>
      <w:r>
        <w:t xml:space="preserve">What we care about (rank findings by this)</w:t>
      </w:r>
      <w:bookmarkEnd w:id="23"/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Security &amp; compliance moves</w:t>
      </w:r>
      <w:r>
        <w:t xml:space="preserve"> </w:t>
      </w:r>
      <w:r>
        <w:t xml:space="preserve">— SOC 2, audit logs, data residency. This is our home turf; anything here is high priority.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Pricing &amp; packaging changes</w:t>
      </w:r>
      <w:r>
        <w:t xml:space="preserve"> </w:t>
      </w:r>
      <w:r>
        <w:t xml:space="preserve">— new tiers, discounting, per-seat vs per-store.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Retail-specific features or partnerships</w:t>
      </w:r>
      <w:r>
        <w:t xml:space="preserve"> </w:t>
      </w:r>
      <w:r>
        <w:t xml:space="preserve">— POS integrations, multi-store support.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Messaging shifts</w:t>
      </w:r>
      <w:r>
        <w:t xml:space="preserve"> </w:t>
      </w:r>
      <w:r>
        <w:t xml:space="preserve">— what they put on the homepage / lead with.</w:t>
      </w:r>
    </w:p>
    <w:p>
      <w:pPr>
        <w:numPr>
          <w:ilvl w:val="0"/>
          <w:numId w:val="1002"/>
        </w:numPr>
        <w:pStyle w:val="Compact"/>
      </w:pPr>
      <w:r>
        <w:rPr>
          <w:b/>
        </w:rPr>
        <w:t xml:space="preserve">Hiring signals</w:t>
      </w:r>
      <w:r>
        <w:t xml:space="preserve"> </w:t>
      </w:r>
      <w:r>
        <w:t xml:space="preserve">— sales hiring in our regions (Canada especially).</w:t>
      </w:r>
    </w:p>
    <w:p>
      <w:pPr>
        <w:pStyle w:val="Heading2"/>
      </w:pPr>
      <w:bookmarkStart w:id="24" w:name="output"/>
      <w:r>
        <w:t xml:space="preserve">Output</w:t>
      </w:r>
      <w:bookmarkEnd w:id="24"/>
    </w:p>
    <w:p>
      <w:pPr>
        <w:pStyle w:val="FirstParagraph"/>
      </w:pPr>
      <w:r>
        <w:t xml:space="preserve">For each competitor:</w:t>
      </w:r>
      <w:r>
        <w:t xml:space="preserve"> </w:t>
      </w:r>
      <w:r>
        <w:rPr>
          <w:b/>
        </w:rPr>
        <w:t xml:space="preserve">What’s new · Why it matters to us · Source.</w:t>
      </w:r>
      <w:r>
        <w:t xml:space="preserve"> </w:t>
      </w:r>
      <w:r>
        <w:t xml:space="preserve">Then</w:t>
      </w:r>
      <w:r>
        <w:t xml:space="preserve"> </w:t>
      </w:r>
      <w:r>
        <w:rPr>
          <w:b/>
        </w:rPr>
        <w:t xml:space="preserve">top 3 takeaways for our roadmap/positioning this week.</w:t>
      </w:r>
      <w:r>
        <w:t xml:space="preserve"> </w:t>
      </w:r>
      <w:r>
        <w:t xml:space="preserve">Call out anything that touches security/compliance or retail directly — that’s where we either defend or differentiate.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41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2026-06-22T19:50:59Z</dcterms:created>
  <dcterms:modified xsi:type="dcterms:W3CDTF">2026-06-22T19:50:59Z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